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5B888" w14:textId="77777777" w:rsidR="0066709C" w:rsidRPr="0066709C" w:rsidRDefault="0066709C" w:rsidP="0066709C">
      <w:pPr>
        <w:spacing w:before="100" w:beforeAutospacing="1" w:line="252" w:lineRule="auto"/>
        <w:jc w:val="center"/>
        <w:rPr>
          <w:rFonts w:ascii="Times New Roman" w:eastAsia="Times New Roman" w:hAnsi="Times New Roman" w:cs="Times New Roman"/>
          <w:sz w:val="24"/>
          <w:szCs w:val="24"/>
          <w:lang w:eastAsia="nb-NO"/>
        </w:rPr>
      </w:pPr>
      <w:r w:rsidRPr="0066709C">
        <w:rPr>
          <w:rFonts w:ascii="Aptos" w:eastAsia="Times New Roman" w:hAnsi="Aptos" w:cs="Times New Roman"/>
          <w:b/>
          <w:bCs/>
          <w:sz w:val="32"/>
          <w:szCs w:val="32"/>
          <w14:ligatures w14:val="standardContextual"/>
        </w:rPr>
        <w:t>Kostnadsnivået på feier og tilsynsavgift.</w:t>
      </w:r>
    </w:p>
    <w:p w14:paraId="0DC77163" w14:textId="77777777"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Times New Roman" w:eastAsia="Times New Roman" w:hAnsi="Times New Roman" w:cs="Times New Roman"/>
          <w:b/>
          <w:bCs/>
          <w:color w:val="000000"/>
          <w:sz w:val="24"/>
          <w:szCs w:val="24"/>
          <w:lang w:eastAsia="nb-NO"/>
        </w:rPr>
        <w:t>Fra:</w:t>
      </w:r>
      <w:r w:rsidRPr="0066709C">
        <w:rPr>
          <w:rFonts w:ascii="Times New Roman" w:eastAsia="Times New Roman" w:hAnsi="Times New Roman" w:cs="Times New Roman"/>
          <w:color w:val="000000"/>
          <w:sz w:val="24"/>
          <w:szCs w:val="24"/>
          <w:lang w:eastAsia="nb-NO"/>
        </w:rPr>
        <w:t xml:space="preserve"> </w:t>
      </w:r>
      <w:proofErr w:type="spellStart"/>
      <w:r w:rsidRPr="0066709C">
        <w:rPr>
          <w:rFonts w:ascii="Times New Roman" w:eastAsia="Times New Roman" w:hAnsi="Times New Roman" w:cs="Times New Roman"/>
          <w:color w:val="000000"/>
          <w:sz w:val="24"/>
          <w:szCs w:val="24"/>
          <w:lang w:eastAsia="nb-NO"/>
        </w:rPr>
        <w:t>sigvard</w:t>
      </w:r>
      <w:proofErr w:type="spellEnd"/>
      <w:r w:rsidRPr="0066709C">
        <w:rPr>
          <w:rFonts w:ascii="Times New Roman" w:eastAsia="Times New Roman" w:hAnsi="Times New Roman" w:cs="Times New Roman"/>
          <w:color w:val="000000"/>
          <w:sz w:val="24"/>
          <w:szCs w:val="24"/>
          <w:lang w:eastAsia="nb-NO"/>
        </w:rPr>
        <w:t xml:space="preserve"> </w:t>
      </w:r>
      <w:proofErr w:type="spellStart"/>
      <w:r w:rsidRPr="0066709C">
        <w:rPr>
          <w:rFonts w:ascii="Times New Roman" w:eastAsia="Times New Roman" w:hAnsi="Times New Roman" w:cs="Times New Roman"/>
          <w:color w:val="000000"/>
          <w:sz w:val="24"/>
          <w:szCs w:val="24"/>
          <w:lang w:eastAsia="nb-NO"/>
        </w:rPr>
        <w:t>laurendz</w:t>
      </w:r>
      <w:proofErr w:type="spellEnd"/>
      <w:r w:rsidRPr="0066709C">
        <w:rPr>
          <w:rFonts w:ascii="Times New Roman" w:eastAsia="Times New Roman" w:hAnsi="Times New Roman" w:cs="Times New Roman"/>
          <w:color w:val="000000"/>
          <w:sz w:val="24"/>
          <w:szCs w:val="24"/>
          <w:lang w:eastAsia="nb-NO"/>
        </w:rPr>
        <w:t xml:space="preserve"> &lt;</w:t>
      </w:r>
      <w:hyperlink r:id="rId4" w:history="1">
        <w:r w:rsidRPr="0066709C">
          <w:rPr>
            <w:rFonts w:ascii="Times New Roman" w:eastAsia="Times New Roman" w:hAnsi="Times New Roman" w:cs="Times New Roman"/>
            <w:color w:val="0000FF"/>
            <w:sz w:val="24"/>
            <w:szCs w:val="24"/>
            <w:u w:val="single"/>
            <w:lang w:eastAsia="nb-NO"/>
          </w:rPr>
          <w:t>reinstoyl@gmail.com</w:t>
        </w:r>
      </w:hyperlink>
      <w:r w:rsidRPr="0066709C">
        <w:rPr>
          <w:rFonts w:ascii="Times New Roman" w:eastAsia="Times New Roman" w:hAnsi="Times New Roman" w:cs="Times New Roman"/>
          <w:color w:val="000000"/>
          <w:sz w:val="24"/>
          <w:szCs w:val="24"/>
          <w:lang w:eastAsia="nb-NO"/>
        </w:rPr>
        <w:t>&gt;</w:t>
      </w:r>
      <w:r w:rsidRPr="0066709C">
        <w:rPr>
          <w:rFonts w:ascii="Times New Roman" w:eastAsia="Times New Roman" w:hAnsi="Times New Roman" w:cs="Times New Roman"/>
          <w:color w:val="000000"/>
          <w:sz w:val="24"/>
          <w:szCs w:val="24"/>
          <w:lang w:eastAsia="nb-NO"/>
        </w:rPr>
        <w:br/>
      </w:r>
      <w:r w:rsidRPr="0066709C">
        <w:rPr>
          <w:rFonts w:ascii="Times New Roman" w:eastAsia="Times New Roman" w:hAnsi="Times New Roman" w:cs="Times New Roman"/>
          <w:b/>
          <w:bCs/>
          <w:color w:val="000000"/>
          <w:sz w:val="24"/>
          <w:szCs w:val="24"/>
          <w:lang w:eastAsia="nb-NO"/>
        </w:rPr>
        <w:t>Sendt:</w:t>
      </w:r>
      <w:r w:rsidRPr="0066709C">
        <w:rPr>
          <w:rFonts w:ascii="Times New Roman" w:eastAsia="Times New Roman" w:hAnsi="Times New Roman" w:cs="Times New Roman"/>
          <w:color w:val="000000"/>
          <w:sz w:val="24"/>
          <w:szCs w:val="24"/>
          <w:lang w:eastAsia="nb-NO"/>
        </w:rPr>
        <w:t xml:space="preserve"> torsdag 14. mars 2024 17:25</w:t>
      </w:r>
      <w:r w:rsidRPr="0066709C">
        <w:rPr>
          <w:rFonts w:ascii="Times New Roman" w:eastAsia="Times New Roman" w:hAnsi="Times New Roman" w:cs="Times New Roman"/>
          <w:color w:val="000000"/>
          <w:sz w:val="24"/>
          <w:szCs w:val="24"/>
          <w:lang w:eastAsia="nb-NO"/>
        </w:rPr>
        <w:br/>
      </w:r>
      <w:r w:rsidRPr="0066709C">
        <w:rPr>
          <w:rFonts w:ascii="Times New Roman" w:eastAsia="Times New Roman" w:hAnsi="Times New Roman" w:cs="Times New Roman"/>
          <w:b/>
          <w:bCs/>
          <w:color w:val="000000"/>
          <w:sz w:val="24"/>
          <w:szCs w:val="24"/>
          <w:lang w:eastAsia="nb-NO"/>
        </w:rPr>
        <w:t>Til:</w:t>
      </w:r>
      <w:r w:rsidRPr="0066709C">
        <w:rPr>
          <w:rFonts w:ascii="Times New Roman" w:eastAsia="Times New Roman" w:hAnsi="Times New Roman" w:cs="Times New Roman"/>
          <w:color w:val="000000"/>
          <w:sz w:val="24"/>
          <w:szCs w:val="24"/>
          <w:lang w:eastAsia="nb-NO"/>
        </w:rPr>
        <w:t xml:space="preserve"> Post - Valle kommune &lt;</w:t>
      </w:r>
      <w:hyperlink r:id="rId5" w:history="1">
        <w:r w:rsidRPr="0066709C">
          <w:rPr>
            <w:rFonts w:ascii="Times New Roman" w:eastAsia="Times New Roman" w:hAnsi="Times New Roman" w:cs="Times New Roman"/>
            <w:color w:val="0000FF"/>
            <w:sz w:val="24"/>
            <w:szCs w:val="24"/>
            <w:u w:val="single"/>
            <w:lang w:eastAsia="nb-NO"/>
          </w:rPr>
          <w:t>post@valle.kommune.no</w:t>
        </w:r>
      </w:hyperlink>
      <w:r w:rsidRPr="0066709C">
        <w:rPr>
          <w:rFonts w:ascii="Times New Roman" w:eastAsia="Times New Roman" w:hAnsi="Times New Roman" w:cs="Times New Roman"/>
          <w:color w:val="000000"/>
          <w:sz w:val="24"/>
          <w:szCs w:val="24"/>
          <w:lang w:eastAsia="nb-NO"/>
        </w:rPr>
        <w:t>&gt;</w:t>
      </w:r>
      <w:r w:rsidRPr="0066709C">
        <w:rPr>
          <w:rFonts w:ascii="Times New Roman" w:eastAsia="Times New Roman" w:hAnsi="Times New Roman" w:cs="Times New Roman"/>
          <w:color w:val="000000"/>
          <w:sz w:val="24"/>
          <w:szCs w:val="24"/>
          <w:lang w:eastAsia="nb-NO"/>
        </w:rPr>
        <w:br/>
      </w:r>
      <w:r w:rsidRPr="0066709C">
        <w:rPr>
          <w:rFonts w:ascii="Times New Roman" w:eastAsia="Times New Roman" w:hAnsi="Times New Roman" w:cs="Times New Roman"/>
          <w:b/>
          <w:bCs/>
          <w:color w:val="000000"/>
          <w:sz w:val="24"/>
          <w:szCs w:val="24"/>
          <w:lang w:eastAsia="nb-NO"/>
        </w:rPr>
        <w:t>Kopi:</w:t>
      </w:r>
      <w:r w:rsidRPr="0066709C">
        <w:rPr>
          <w:rFonts w:ascii="Times New Roman" w:eastAsia="Times New Roman" w:hAnsi="Times New Roman" w:cs="Times New Roman"/>
          <w:color w:val="000000"/>
          <w:sz w:val="24"/>
          <w:szCs w:val="24"/>
          <w:lang w:eastAsia="nb-NO"/>
        </w:rPr>
        <w:t xml:space="preserve"> Roger Nømme &lt;</w:t>
      </w:r>
      <w:hyperlink r:id="rId6" w:history="1">
        <w:r w:rsidRPr="0066709C">
          <w:rPr>
            <w:rFonts w:ascii="Times New Roman" w:eastAsia="Times New Roman" w:hAnsi="Times New Roman" w:cs="Times New Roman"/>
            <w:color w:val="0000FF"/>
            <w:sz w:val="24"/>
            <w:szCs w:val="24"/>
            <w:u w:val="single"/>
            <w:lang w:eastAsia="nb-NO"/>
          </w:rPr>
          <w:t>rn@elektroxperten.no</w:t>
        </w:r>
      </w:hyperlink>
      <w:r w:rsidRPr="0066709C">
        <w:rPr>
          <w:rFonts w:ascii="Times New Roman" w:eastAsia="Times New Roman" w:hAnsi="Times New Roman" w:cs="Times New Roman"/>
          <w:color w:val="000000"/>
          <w:sz w:val="24"/>
          <w:szCs w:val="24"/>
          <w:lang w:eastAsia="nb-NO"/>
        </w:rPr>
        <w:t xml:space="preserve">&gt;; </w:t>
      </w:r>
      <w:hyperlink r:id="rId7" w:history="1">
        <w:r w:rsidRPr="0066709C">
          <w:rPr>
            <w:rFonts w:ascii="Times New Roman" w:eastAsia="Times New Roman" w:hAnsi="Times New Roman" w:cs="Times New Roman"/>
            <w:color w:val="0000FF"/>
            <w:sz w:val="24"/>
            <w:szCs w:val="24"/>
            <w:u w:val="single"/>
            <w:lang w:eastAsia="nb-NO"/>
          </w:rPr>
          <w:t>erlijoh@online.no</w:t>
        </w:r>
      </w:hyperlink>
      <w:r w:rsidRPr="0066709C">
        <w:rPr>
          <w:rFonts w:ascii="Times New Roman" w:eastAsia="Times New Roman" w:hAnsi="Times New Roman" w:cs="Times New Roman"/>
          <w:color w:val="000000"/>
          <w:sz w:val="24"/>
          <w:szCs w:val="24"/>
          <w:lang w:eastAsia="nb-NO"/>
        </w:rPr>
        <w:t xml:space="preserve"> &lt;</w:t>
      </w:r>
      <w:hyperlink r:id="rId8" w:history="1">
        <w:r w:rsidRPr="0066709C">
          <w:rPr>
            <w:rFonts w:ascii="Times New Roman" w:eastAsia="Times New Roman" w:hAnsi="Times New Roman" w:cs="Times New Roman"/>
            <w:color w:val="0000FF"/>
            <w:sz w:val="24"/>
            <w:szCs w:val="24"/>
            <w:u w:val="single"/>
            <w:lang w:eastAsia="nb-NO"/>
          </w:rPr>
          <w:t>erlijoh@online.no</w:t>
        </w:r>
      </w:hyperlink>
      <w:r w:rsidRPr="0066709C">
        <w:rPr>
          <w:rFonts w:ascii="Times New Roman" w:eastAsia="Times New Roman" w:hAnsi="Times New Roman" w:cs="Times New Roman"/>
          <w:color w:val="000000"/>
          <w:sz w:val="24"/>
          <w:szCs w:val="24"/>
          <w:lang w:eastAsia="nb-NO"/>
        </w:rPr>
        <w:t>&gt;</w:t>
      </w:r>
      <w:r w:rsidRPr="0066709C">
        <w:rPr>
          <w:rFonts w:ascii="Times New Roman" w:eastAsia="Times New Roman" w:hAnsi="Times New Roman" w:cs="Times New Roman"/>
          <w:color w:val="000000"/>
          <w:sz w:val="24"/>
          <w:szCs w:val="24"/>
          <w:lang w:eastAsia="nb-NO"/>
        </w:rPr>
        <w:br/>
      </w:r>
      <w:r w:rsidRPr="0066709C">
        <w:rPr>
          <w:rFonts w:ascii="Times New Roman" w:eastAsia="Times New Roman" w:hAnsi="Times New Roman" w:cs="Times New Roman"/>
          <w:b/>
          <w:bCs/>
          <w:color w:val="000000"/>
          <w:sz w:val="24"/>
          <w:szCs w:val="24"/>
          <w:lang w:eastAsia="nb-NO"/>
        </w:rPr>
        <w:t>Emne:</w:t>
      </w:r>
      <w:r w:rsidRPr="0066709C">
        <w:rPr>
          <w:rFonts w:ascii="Times New Roman" w:eastAsia="Times New Roman" w:hAnsi="Times New Roman" w:cs="Times New Roman"/>
          <w:color w:val="000000"/>
          <w:sz w:val="24"/>
          <w:szCs w:val="24"/>
          <w:lang w:eastAsia="nb-NO"/>
        </w:rPr>
        <w:t xml:space="preserve"> Kostnadsnivå på feieravgiften</w:t>
      </w:r>
      <w:r w:rsidRPr="0066709C">
        <w:rPr>
          <w:rFonts w:ascii="Times New Roman" w:eastAsia="Times New Roman" w:hAnsi="Times New Roman" w:cs="Times New Roman"/>
          <w:sz w:val="24"/>
          <w:szCs w:val="24"/>
          <w:lang w:eastAsia="nb-NO"/>
        </w:rPr>
        <w:t xml:space="preserve"> </w:t>
      </w:r>
    </w:p>
    <w:p w14:paraId="412EBDC2" w14:textId="77777777"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Times New Roman" w:eastAsia="Times New Roman" w:hAnsi="Times New Roman" w:cs="Times New Roman"/>
          <w:sz w:val="24"/>
          <w:szCs w:val="24"/>
          <w:lang w:eastAsia="nb-NO"/>
        </w:rPr>
        <w:t>Hei.</w:t>
      </w:r>
    </w:p>
    <w:p w14:paraId="39328A9A" w14:textId="77777777"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Times New Roman" w:eastAsia="Times New Roman" w:hAnsi="Times New Roman" w:cs="Times New Roman"/>
          <w:sz w:val="24"/>
          <w:szCs w:val="24"/>
          <w:lang w:eastAsia="nb-NO"/>
        </w:rPr>
        <w:t>Reinstøyl hyttegrend ønsker en oversikt over kostnadene på feiertjenesten for våre medlemmer. (se vedlagt liste over veinavn)</w:t>
      </w:r>
    </w:p>
    <w:p w14:paraId="62FC0897" w14:textId="77777777"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Times New Roman" w:eastAsia="Times New Roman" w:hAnsi="Times New Roman" w:cs="Times New Roman"/>
          <w:sz w:val="24"/>
          <w:szCs w:val="24"/>
          <w:lang w:eastAsia="nb-NO"/>
        </w:rPr>
        <w:t xml:space="preserve">På årsmøtet ble det vedtatt at styret skulle henvende seg til Valle kommune for å få en avklaring på kostnadene som er påløpt </w:t>
      </w:r>
      <w:proofErr w:type="gramStart"/>
      <w:r w:rsidRPr="0066709C">
        <w:rPr>
          <w:rFonts w:ascii="Times New Roman" w:eastAsia="Times New Roman" w:hAnsi="Times New Roman" w:cs="Times New Roman"/>
          <w:sz w:val="24"/>
          <w:szCs w:val="24"/>
          <w:lang w:eastAsia="nb-NO"/>
        </w:rPr>
        <w:t>vedrørende</w:t>
      </w:r>
      <w:proofErr w:type="gramEnd"/>
      <w:r w:rsidRPr="0066709C">
        <w:rPr>
          <w:rFonts w:ascii="Times New Roman" w:eastAsia="Times New Roman" w:hAnsi="Times New Roman" w:cs="Times New Roman"/>
          <w:sz w:val="24"/>
          <w:szCs w:val="24"/>
          <w:lang w:eastAsia="nb-NO"/>
        </w:rPr>
        <w:t xml:space="preserve"> feiing og tilsyn.</w:t>
      </w:r>
    </w:p>
    <w:p w14:paraId="79E2701A" w14:textId="77777777"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Times New Roman" w:eastAsia="Times New Roman" w:hAnsi="Times New Roman" w:cs="Times New Roman"/>
          <w:sz w:val="24"/>
          <w:szCs w:val="24"/>
          <w:lang w:eastAsia="nb-NO"/>
        </w:rPr>
        <w:t>Det hadde vært flott om dere kunne gitt oss en avklaring på hva vi kan forvente angående tilsyn og feiing.</w:t>
      </w:r>
    </w:p>
    <w:p w14:paraId="7EF3A12F" w14:textId="77777777"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Times New Roman" w:eastAsia="Times New Roman" w:hAnsi="Times New Roman" w:cs="Times New Roman"/>
          <w:sz w:val="24"/>
          <w:szCs w:val="24"/>
          <w:lang w:eastAsia="nb-NO"/>
        </w:rPr>
        <w:t>Her er utsnitt fra vedlagte årsmøtereferat:</w:t>
      </w:r>
    </w:p>
    <w:p w14:paraId="13C92D52" w14:textId="5A3C9BC4" w:rsidR="0066709C" w:rsidRPr="0066709C" w:rsidRDefault="0066709C" w:rsidP="0066709C">
      <w:pPr>
        <w:spacing w:before="100" w:beforeAutospacing="1" w:after="100" w:afterAutospacing="1" w:line="240" w:lineRule="auto"/>
        <w:rPr>
          <w:rFonts w:ascii="Times New Roman" w:eastAsia="Times New Roman" w:hAnsi="Times New Roman" w:cs="Times New Roman"/>
          <w:i/>
          <w:iCs/>
          <w:sz w:val="24"/>
          <w:szCs w:val="24"/>
          <w:lang w:eastAsia="nb-NO"/>
        </w:rPr>
      </w:pPr>
      <w:r w:rsidRPr="0066709C">
        <w:rPr>
          <w:rFonts w:ascii="Times New Roman" w:eastAsia="Times New Roman" w:hAnsi="Times New Roman" w:cs="Times New Roman"/>
          <w:i/>
          <w:iCs/>
          <w:sz w:val="24"/>
          <w:szCs w:val="24"/>
          <w:lang w:eastAsia="nb-NO"/>
        </w:rPr>
        <w:t> Planer for kommende år:</w:t>
      </w:r>
    </w:p>
    <w:p w14:paraId="27DC60D5" w14:textId="77777777" w:rsidR="0066709C" w:rsidRPr="0066709C" w:rsidRDefault="0066709C" w:rsidP="0066709C">
      <w:pPr>
        <w:spacing w:before="100" w:beforeAutospacing="1" w:after="100" w:afterAutospacing="1" w:line="240" w:lineRule="auto"/>
        <w:rPr>
          <w:rFonts w:ascii="Times New Roman" w:eastAsia="Times New Roman" w:hAnsi="Times New Roman" w:cs="Times New Roman"/>
          <w:i/>
          <w:iCs/>
          <w:sz w:val="24"/>
          <w:szCs w:val="24"/>
          <w:lang w:eastAsia="nb-NO"/>
        </w:rPr>
      </w:pPr>
      <w:r w:rsidRPr="0066709C">
        <w:rPr>
          <w:rFonts w:ascii="Symbol" w:eastAsia="Times New Roman" w:hAnsi="Symbol" w:cs="Times New Roman"/>
          <w:i/>
          <w:iCs/>
          <w:sz w:val="24"/>
          <w:szCs w:val="24"/>
          <w:lang w:eastAsia="nb-NO"/>
        </w:rPr>
        <w:t>·</w:t>
      </w:r>
      <w:r w:rsidRPr="0066709C">
        <w:rPr>
          <w:rFonts w:ascii="Times New Roman" w:eastAsia="Times New Roman" w:hAnsi="Times New Roman" w:cs="Times New Roman"/>
          <w:i/>
          <w:iCs/>
          <w:sz w:val="24"/>
          <w:szCs w:val="24"/>
          <w:lang w:eastAsia="nb-NO"/>
        </w:rPr>
        <w:t xml:space="preserve"> Feiing og tilsyn av piper.</w:t>
      </w:r>
    </w:p>
    <w:p w14:paraId="5F9A3623" w14:textId="77777777" w:rsidR="0066709C" w:rsidRPr="0066709C" w:rsidRDefault="0066709C" w:rsidP="0066709C">
      <w:pPr>
        <w:spacing w:before="100" w:beforeAutospacing="1" w:after="100" w:afterAutospacing="1" w:line="240" w:lineRule="auto"/>
        <w:rPr>
          <w:rFonts w:ascii="Times New Roman" w:eastAsia="Times New Roman" w:hAnsi="Times New Roman" w:cs="Times New Roman"/>
          <w:i/>
          <w:iCs/>
          <w:sz w:val="24"/>
          <w:szCs w:val="24"/>
          <w:lang w:eastAsia="nb-NO"/>
        </w:rPr>
      </w:pPr>
      <w:r w:rsidRPr="0066709C">
        <w:rPr>
          <w:rFonts w:ascii="Times New Roman" w:eastAsia="Times New Roman" w:hAnsi="Times New Roman" w:cs="Times New Roman"/>
          <w:i/>
          <w:iCs/>
          <w:sz w:val="24"/>
          <w:szCs w:val="24"/>
          <w:lang w:eastAsia="nb-NO"/>
        </w:rPr>
        <w:t>Det kom en forespørsel om styret kunne sende en formell forespørsel til Valle kommune om kostnadsnivået på feieravgiften siden denne skal være selvfinansierende. Årsmøtet ber styre sjekke dette.</w:t>
      </w:r>
    </w:p>
    <w:p w14:paraId="569B7BB6" w14:textId="44E51D03"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proofErr w:type="spellStart"/>
      <w:r w:rsidRPr="0066709C">
        <w:rPr>
          <w:rFonts w:ascii="Times New Roman" w:eastAsia="Times New Roman" w:hAnsi="Times New Roman" w:cs="Times New Roman"/>
          <w:sz w:val="24"/>
          <w:szCs w:val="24"/>
          <w:lang w:eastAsia="nb-NO"/>
        </w:rPr>
        <w:t>Mvh</w:t>
      </w:r>
      <w:proofErr w:type="spellEnd"/>
      <w:r w:rsidRPr="0066709C">
        <w:rPr>
          <w:rFonts w:ascii="Times New Roman" w:eastAsia="Times New Roman" w:hAnsi="Times New Roman" w:cs="Times New Roman"/>
          <w:sz w:val="24"/>
          <w:szCs w:val="24"/>
          <w:lang w:eastAsia="nb-NO"/>
        </w:rPr>
        <w:t xml:space="preserve"> Sigvard Laurendz</w:t>
      </w:r>
    </w:p>
    <w:p w14:paraId="7CDF778F" w14:textId="2496D9AD"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Times New Roman" w:eastAsia="Times New Roman" w:hAnsi="Times New Roman" w:cs="Times New Roman"/>
          <w:sz w:val="24"/>
          <w:szCs w:val="24"/>
          <w:lang w:eastAsia="nb-NO"/>
        </w:rPr>
        <w:t>Leder i Reinstøyl hyttegrend </w:t>
      </w:r>
    </w:p>
    <w:p w14:paraId="23FAAC3A" w14:textId="77777777"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Times New Roman" w:eastAsia="Times New Roman" w:hAnsi="Times New Roman" w:cs="Times New Roman"/>
          <w:sz w:val="24"/>
          <w:szCs w:val="24"/>
          <w:lang w:eastAsia="nb-NO"/>
        </w:rPr>
        <w:t>Reinstøyl.no</w:t>
      </w:r>
    </w:p>
    <w:p w14:paraId="3BFD0236" w14:textId="6C263218" w:rsidR="0066709C" w:rsidRDefault="0066709C" w:rsidP="0066709C">
      <w:pPr>
        <w:spacing w:before="100" w:beforeAutospacing="1" w:line="252" w:lineRule="auto"/>
        <w:rPr>
          <w:rFonts w:ascii="Aptos" w:eastAsia="Times New Roman" w:hAnsi="Aptos" w:cs="Times New Roman"/>
          <w:sz w:val="28"/>
          <w:szCs w:val="28"/>
          <w14:ligatures w14:val="standardContextual"/>
        </w:rPr>
      </w:pPr>
      <w:r>
        <w:rPr>
          <w:rFonts w:ascii="Aptos" w:eastAsia="Times New Roman" w:hAnsi="Aptos" w:cs="Times New Roman"/>
          <w:sz w:val="28"/>
          <w:szCs w:val="28"/>
          <w14:ligatures w14:val="standardContextual"/>
        </w:rPr>
        <w:t>_________________________</w:t>
      </w:r>
    </w:p>
    <w:p w14:paraId="6324F3D9" w14:textId="1F907FFD" w:rsidR="0066709C" w:rsidRDefault="0066709C" w:rsidP="0066709C">
      <w:pPr>
        <w:spacing w:before="100" w:beforeAutospacing="1" w:line="252" w:lineRule="auto"/>
        <w:rPr>
          <w:rFonts w:ascii="Aptos" w:eastAsia="Times New Roman" w:hAnsi="Aptos" w:cs="Times New Roman"/>
          <w:sz w:val="28"/>
          <w:szCs w:val="28"/>
          <w14:ligatures w14:val="standardContextual"/>
        </w:rPr>
      </w:pPr>
      <w:r>
        <w:rPr>
          <w:rFonts w:ascii="Aptos" w:eastAsia="Times New Roman" w:hAnsi="Aptos" w:cs="Times New Roman"/>
          <w:sz w:val="28"/>
          <w:szCs w:val="28"/>
          <w14:ligatures w14:val="standardContextual"/>
        </w:rPr>
        <w:t>Svar fra Setesdal brannvesen:</w:t>
      </w:r>
    </w:p>
    <w:p w14:paraId="43E872E9" w14:textId="77777777"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Times New Roman" w:eastAsia="Times New Roman" w:hAnsi="Times New Roman" w:cs="Times New Roman"/>
          <w:b/>
          <w:bCs/>
          <w:sz w:val="24"/>
          <w:szCs w:val="24"/>
          <w:lang w:eastAsia="nb-NO"/>
        </w:rPr>
        <w:t>Fra:</w:t>
      </w:r>
      <w:r w:rsidRPr="0066709C">
        <w:rPr>
          <w:rFonts w:ascii="Times New Roman" w:eastAsia="Times New Roman" w:hAnsi="Times New Roman" w:cs="Times New Roman"/>
          <w:sz w:val="24"/>
          <w:szCs w:val="24"/>
          <w:lang w:eastAsia="nb-NO"/>
        </w:rPr>
        <w:t xml:space="preserve"> Post - Setesdal Brannvesen IKS &lt;post@sb-iks.no&gt; </w:t>
      </w:r>
      <w:r w:rsidRPr="0066709C">
        <w:rPr>
          <w:rFonts w:ascii="Times New Roman" w:eastAsia="Times New Roman" w:hAnsi="Times New Roman" w:cs="Times New Roman"/>
          <w:sz w:val="24"/>
          <w:szCs w:val="24"/>
          <w:lang w:eastAsia="nb-NO"/>
        </w:rPr>
        <w:br/>
      </w:r>
      <w:r w:rsidRPr="0066709C">
        <w:rPr>
          <w:rFonts w:ascii="Times New Roman" w:eastAsia="Times New Roman" w:hAnsi="Times New Roman" w:cs="Times New Roman"/>
          <w:b/>
          <w:bCs/>
          <w:sz w:val="24"/>
          <w:szCs w:val="24"/>
          <w:lang w:eastAsia="nb-NO"/>
        </w:rPr>
        <w:t>Sendt:</w:t>
      </w:r>
      <w:r w:rsidRPr="0066709C">
        <w:rPr>
          <w:rFonts w:ascii="Times New Roman" w:eastAsia="Times New Roman" w:hAnsi="Times New Roman" w:cs="Times New Roman"/>
          <w:sz w:val="24"/>
          <w:szCs w:val="24"/>
          <w:lang w:eastAsia="nb-NO"/>
        </w:rPr>
        <w:t xml:space="preserve"> fredag 15. mars 2024 15:32</w:t>
      </w:r>
      <w:r w:rsidRPr="0066709C">
        <w:rPr>
          <w:rFonts w:ascii="Times New Roman" w:eastAsia="Times New Roman" w:hAnsi="Times New Roman" w:cs="Times New Roman"/>
          <w:sz w:val="24"/>
          <w:szCs w:val="24"/>
          <w:lang w:eastAsia="nb-NO"/>
        </w:rPr>
        <w:br/>
      </w:r>
      <w:r w:rsidRPr="0066709C">
        <w:rPr>
          <w:rFonts w:ascii="Times New Roman" w:eastAsia="Times New Roman" w:hAnsi="Times New Roman" w:cs="Times New Roman"/>
          <w:b/>
          <w:bCs/>
          <w:sz w:val="24"/>
          <w:szCs w:val="24"/>
          <w:lang w:eastAsia="nb-NO"/>
        </w:rPr>
        <w:t>Til:</w:t>
      </w:r>
      <w:r w:rsidRPr="0066709C">
        <w:rPr>
          <w:rFonts w:ascii="Times New Roman" w:eastAsia="Times New Roman" w:hAnsi="Times New Roman" w:cs="Times New Roman"/>
          <w:sz w:val="24"/>
          <w:szCs w:val="24"/>
          <w:lang w:eastAsia="nb-NO"/>
        </w:rPr>
        <w:t xml:space="preserve"> Knut Arne Nilsen &lt;knut.arne.nilsen@sb-iks.no&gt;</w:t>
      </w:r>
      <w:r w:rsidRPr="0066709C">
        <w:rPr>
          <w:rFonts w:ascii="Times New Roman" w:eastAsia="Times New Roman" w:hAnsi="Times New Roman" w:cs="Times New Roman"/>
          <w:sz w:val="24"/>
          <w:szCs w:val="24"/>
          <w:lang w:eastAsia="nb-NO"/>
        </w:rPr>
        <w:br/>
      </w:r>
      <w:r w:rsidRPr="0066709C">
        <w:rPr>
          <w:rFonts w:ascii="Times New Roman" w:eastAsia="Times New Roman" w:hAnsi="Times New Roman" w:cs="Times New Roman"/>
          <w:b/>
          <w:bCs/>
          <w:sz w:val="24"/>
          <w:szCs w:val="24"/>
          <w:lang w:eastAsia="nb-NO"/>
        </w:rPr>
        <w:t>Kopi:</w:t>
      </w:r>
      <w:r w:rsidRPr="0066709C">
        <w:rPr>
          <w:rFonts w:ascii="Times New Roman" w:eastAsia="Times New Roman" w:hAnsi="Times New Roman" w:cs="Times New Roman"/>
          <w:sz w:val="24"/>
          <w:szCs w:val="24"/>
          <w:lang w:eastAsia="nb-NO"/>
        </w:rPr>
        <w:t xml:space="preserve"> Fredrik Langfeldt &lt;fredrik.langfeldt@sb-iks.no&gt;</w:t>
      </w:r>
      <w:r w:rsidRPr="0066709C">
        <w:rPr>
          <w:rFonts w:ascii="Times New Roman" w:eastAsia="Times New Roman" w:hAnsi="Times New Roman" w:cs="Times New Roman"/>
          <w:sz w:val="24"/>
          <w:szCs w:val="24"/>
          <w:lang w:eastAsia="nb-NO"/>
        </w:rPr>
        <w:br/>
      </w:r>
      <w:r w:rsidRPr="0066709C">
        <w:rPr>
          <w:rFonts w:ascii="Times New Roman" w:eastAsia="Times New Roman" w:hAnsi="Times New Roman" w:cs="Times New Roman"/>
          <w:b/>
          <w:bCs/>
          <w:sz w:val="24"/>
          <w:szCs w:val="24"/>
          <w:lang w:eastAsia="nb-NO"/>
        </w:rPr>
        <w:t>Emne:</w:t>
      </w:r>
      <w:r w:rsidRPr="0066709C">
        <w:rPr>
          <w:rFonts w:ascii="Times New Roman" w:eastAsia="Times New Roman" w:hAnsi="Times New Roman" w:cs="Times New Roman"/>
          <w:sz w:val="24"/>
          <w:szCs w:val="24"/>
          <w:lang w:eastAsia="nb-NO"/>
        </w:rPr>
        <w:t xml:space="preserve"> VS: Kostnadsnivå på feieravgiften</w:t>
      </w:r>
    </w:p>
    <w:p w14:paraId="1BABBFC0"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Kostnader som tilhører feiing og tilsyn er selvfinansiert gjennom selvkostprinsippet.</w:t>
      </w:r>
      <w:r w:rsidRPr="0066709C">
        <w:rPr>
          <w:rFonts w:ascii="Aptos" w:eastAsia="Times New Roman" w:hAnsi="Aptos" w:cs="Times New Roman"/>
          <w:sz w:val="24"/>
          <w:szCs w:val="24"/>
          <w14:ligatures w14:val="standardContextual"/>
        </w:rPr>
        <w:br/>
        <w:t>Gebyr for feiing og tilsyn med fyringsanlegg som brukes til oppvarming av byggverk</w:t>
      </w:r>
    </w:p>
    <w:p w14:paraId="27F58EE0"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lastRenderedPageBreak/>
        <w:t xml:space="preserve">I 2016 kom det ny nasjonal forskrift der Brannvesen i landet ble pålagt å utføre feiing og tilsyn med alle fyringsanlegg som brukes til oppvarming av byggverk. Med byggverk menes bla. Boliger, fritidsboliger, næringsbygg, </w:t>
      </w:r>
      <w:proofErr w:type="spellStart"/>
      <w:r w:rsidRPr="0066709C">
        <w:rPr>
          <w:rFonts w:ascii="Aptos" w:eastAsia="Times New Roman" w:hAnsi="Aptos" w:cs="Times New Roman"/>
          <w:sz w:val="24"/>
          <w:szCs w:val="24"/>
          <w14:ligatures w14:val="standardContextual"/>
        </w:rPr>
        <w:t>støylsbuer</w:t>
      </w:r>
      <w:proofErr w:type="spellEnd"/>
      <w:r w:rsidRPr="0066709C">
        <w:rPr>
          <w:rFonts w:ascii="Aptos" w:eastAsia="Times New Roman" w:hAnsi="Aptos" w:cs="Times New Roman"/>
          <w:sz w:val="24"/>
          <w:szCs w:val="24"/>
          <w14:ligatures w14:val="standardContextual"/>
        </w:rPr>
        <w:t xml:space="preserve"> m.m. For enkelhetsskyld bruker vi videre 2 begrep; Boliger, fritidsboliger.</w:t>
      </w:r>
    </w:p>
    <w:p w14:paraId="1276DE86"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 xml:space="preserve">I 2016 økte antallet fyringsanlegg fra 5.000 skorsteiner til 13.000 skorsteiner. Setesdal Brannvesen har gjennomført feiing og tilsyn med fyringsanlegg i fritidsboliger siden 2018, men er enda ikke i mål med førstegangs feiing/tilsyn med alle disse nye fyringsanleggene. Pr. </w:t>
      </w:r>
      <w:proofErr w:type="gramStart"/>
      <w:r w:rsidRPr="0066709C">
        <w:rPr>
          <w:rFonts w:ascii="Aptos" w:eastAsia="Times New Roman" w:hAnsi="Aptos" w:cs="Times New Roman"/>
          <w:sz w:val="24"/>
          <w:szCs w:val="24"/>
          <w14:ligatures w14:val="standardContextual"/>
        </w:rPr>
        <w:t>d.d..</w:t>
      </w:r>
      <w:proofErr w:type="gramEnd"/>
      <w:r w:rsidRPr="0066709C">
        <w:rPr>
          <w:rFonts w:ascii="Aptos" w:eastAsia="Times New Roman" w:hAnsi="Aptos" w:cs="Times New Roman"/>
          <w:sz w:val="24"/>
          <w:szCs w:val="24"/>
          <w14:ligatures w14:val="standardContextual"/>
        </w:rPr>
        <w:t xml:space="preserve"> Gjenstår det ca. 3.000 fritidsboliger som enda ikke har hatt 1. gangs feiing/tilsyn – Mange av disse ligger uten tilknytning til kjørevei.</w:t>
      </w:r>
    </w:p>
    <w:p w14:paraId="75438887"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 xml:space="preserve">Feiing og tilsyn med fyringsanlegg i fritidsboliger blir utført fortløpende der en har prioritert å starte med hytter som ligger i hyttefelt med kort avstand til nabohytter. F.o.m. 2024 vil fritidsboliger bli prioritert av </w:t>
      </w:r>
      <w:proofErr w:type="spellStart"/>
      <w:r w:rsidRPr="0066709C">
        <w:rPr>
          <w:rFonts w:ascii="Aptos" w:eastAsia="Times New Roman" w:hAnsi="Aptos" w:cs="Times New Roman"/>
          <w:sz w:val="24"/>
          <w:szCs w:val="24"/>
          <w14:ligatures w14:val="standardContextual"/>
        </w:rPr>
        <w:t>brannforebyggerene</w:t>
      </w:r>
      <w:proofErr w:type="spellEnd"/>
      <w:r w:rsidRPr="0066709C">
        <w:rPr>
          <w:rFonts w:ascii="Aptos" w:eastAsia="Times New Roman" w:hAnsi="Aptos" w:cs="Times New Roman"/>
          <w:sz w:val="24"/>
          <w:szCs w:val="24"/>
          <w14:ligatures w14:val="standardContextual"/>
        </w:rPr>
        <w:t xml:space="preserve"> for å for å komme </w:t>
      </w:r>
      <w:proofErr w:type="spellStart"/>
      <w:r w:rsidRPr="0066709C">
        <w:rPr>
          <w:rFonts w:ascii="Aptos" w:eastAsia="Times New Roman" w:hAnsi="Aptos" w:cs="Times New Roman"/>
          <w:sz w:val="24"/>
          <w:szCs w:val="24"/>
          <w14:ligatures w14:val="standardContextual"/>
        </w:rPr>
        <w:t>ajour</w:t>
      </w:r>
      <w:proofErr w:type="spellEnd"/>
      <w:r w:rsidRPr="0066709C">
        <w:rPr>
          <w:rFonts w:ascii="Aptos" w:eastAsia="Times New Roman" w:hAnsi="Aptos" w:cs="Times New Roman"/>
          <w:sz w:val="24"/>
          <w:szCs w:val="24"/>
          <w14:ligatures w14:val="standardContextual"/>
        </w:rPr>
        <w:t xml:space="preserve"> med 1. gangs besøk.</w:t>
      </w:r>
    </w:p>
    <w:p w14:paraId="3AD998AE"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Ved første gangs tilsyn utføres en risikovurdering som fastsetter en hyppighet (Behovsprøving):</w:t>
      </w:r>
    </w:p>
    <w:tbl>
      <w:tblPr>
        <w:tblStyle w:val="Tabellrutenett"/>
        <w:tblW w:w="0" w:type="auto"/>
        <w:tblLook w:val="04A0" w:firstRow="1" w:lastRow="0" w:firstColumn="1" w:lastColumn="0" w:noHBand="0" w:noVBand="1"/>
      </w:tblPr>
      <w:tblGrid>
        <w:gridCol w:w="2265"/>
        <w:gridCol w:w="2265"/>
        <w:gridCol w:w="2266"/>
        <w:gridCol w:w="2266"/>
      </w:tblGrid>
      <w:tr w:rsidR="0066709C" w14:paraId="414B23C9" w14:textId="77777777" w:rsidTr="0066709C">
        <w:tc>
          <w:tcPr>
            <w:tcW w:w="2265" w:type="dxa"/>
          </w:tcPr>
          <w:p w14:paraId="64AF37D6"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-Bygningstype</w:t>
            </w:r>
          </w:p>
          <w:p w14:paraId="2646ADAC" w14:textId="77777777" w:rsidR="0066709C" w:rsidRDefault="0066709C" w:rsidP="0066709C">
            <w:pPr>
              <w:spacing w:before="100" w:beforeAutospacing="1" w:line="252" w:lineRule="auto"/>
              <w:rPr>
                <w:rFonts w:ascii="Aptos" w:eastAsia="Times New Roman" w:hAnsi="Aptos" w:cs="Times New Roman"/>
                <w:sz w:val="24"/>
                <w:szCs w:val="24"/>
                <w14:ligatures w14:val="standardContextual"/>
              </w:rPr>
            </w:pPr>
          </w:p>
        </w:tc>
        <w:tc>
          <w:tcPr>
            <w:tcW w:w="2265" w:type="dxa"/>
          </w:tcPr>
          <w:p w14:paraId="383C1E0E"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-Røykløpstype</w:t>
            </w:r>
          </w:p>
          <w:p w14:paraId="008175A8" w14:textId="77777777" w:rsidR="0066709C" w:rsidRDefault="0066709C" w:rsidP="0066709C">
            <w:pPr>
              <w:spacing w:before="100" w:beforeAutospacing="1" w:line="252" w:lineRule="auto"/>
              <w:rPr>
                <w:rFonts w:ascii="Aptos" w:eastAsia="Times New Roman" w:hAnsi="Aptos" w:cs="Times New Roman"/>
                <w:sz w:val="24"/>
                <w:szCs w:val="24"/>
                <w14:ligatures w14:val="standardContextual"/>
              </w:rPr>
            </w:pPr>
          </w:p>
        </w:tc>
        <w:tc>
          <w:tcPr>
            <w:tcW w:w="2266" w:type="dxa"/>
          </w:tcPr>
          <w:p w14:paraId="0FF2BB1F"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w:t>
            </w:r>
            <w:proofErr w:type="spellStart"/>
            <w:r w:rsidRPr="0066709C">
              <w:rPr>
                <w:rFonts w:ascii="Aptos" w:eastAsia="Times New Roman" w:hAnsi="Aptos" w:cs="Times New Roman"/>
                <w:sz w:val="24"/>
                <w:szCs w:val="24"/>
                <w14:ligatures w14:val="standardContextual"/>
              </w:rPr>
              <w:t>Sotmengde</w:t>
            </w:r>
            <w:proofErr w:type="spellEnd"/>
          </w:p>
          <w:p w14:paraId="018B5D2A" w14:textId="77777777" w:rsidR="0066709C" w:rsidRDefault="0066709C" w:rsidP="0066709C">
            <w:pPr>
              <w:spacing w:before="100" w:beforeAutospacing="1" w:line="252" w:lineRule="auto"/>
              <w:rPr>
                <w:rFonts w:ascii="Aptos" w:eastAsia="Times New Roman" w:hAnsi="Aptos" w:cs="Times New Roman"/>
                <w:sz w:val="24"/>
                <w:szCs w:val="24"/>
                <w14:ligatures w14:val="standardContextual"/>
              </w:rPr>
            </w:pPr>
          </w:p>
        </w:tc>
        <w:tc>
          <w:tcPr>
            <w:tcW w:w="2266" w:type="dxa"/>
          </w:tcPr>
          <w:p w14:paraId="5A81D166" w14:textId="7F5BB16B" w:rsidR="0066709C" w:rsidRDefault="0066709C" w:rsidP="0066709C">
            <w:pPr>
              <w:spacing w:before="100" w:beforeAutospacing="1" w:line="252" w:lineRule="auto"/>
              <w:rPr>
                <w:rFonts w:ascii="Aptos" w:eastAsia="Times New Roman" w:hAnsi="Aptos" w:cs="Times New Roman"/>
                <w:sz w:val="24"/>
                <w:szCs w:val="24"/>
                <w14:ligatures w14:val="standardContextual"/>
              </w:rPr>
            </w:pPr>
            <w:r w:rsidRPr="0066709C">
              <w:rPr>
                <w:rFonts w:ascii="Aptos" w:eastAsia="Times New Roman" w:hAnsi="Aptos" w:cs="Times New Roman"/>
                <w:sz w:val="24"/>
                <w:szCs w:val="24"/>
                <w14:ligatures w14:val="standardContextual"/>
              </w:rPr>
              <w:t>-Type ildsted</w:t>
            </w:r>
          </w:p>
        </w:tc>
      </w:tr>
      <w:tr w:rsidR="0066709C" w14:paraId="653534DA" w14:textId="77777777" w:rsidTr="0066709C">
        <w:tc>
          <w:tcPr>
            <w:tcW w:w="2265" w:type="dxa"/>
          </w:tcPr>
          <w:p w14:paraId="2587FC5A"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-Avvik</w:t>
            </w:r>
          </w:p>
          <w:p w14:paraId="7AA8AC8F" w14:textId="77777777" w:rsidR="0066709C" w:rsidRDefault="0066709C" w:rsidP="0066709C">
            <w:pPr>
              <w:spacing w:before="100" w:beforeAutospacing="1" w:line="252" w:lineRule="auto"/>
              <w:rPr>
                <w:rFonts w:ascii="Aptos" w:eastAsia="Times New Roman" w:hAnsi="Aptos" w:cs="Times New Roman"/>
                <w:sz w:val="24"/>
                <w:szCs w:val="24"/>
                <w14:ligatures w14:val="standardContextual"/>
              </w:rPr>
            </w:pPr>
          </w:p>
        </w:tc>
        <w:tc>
          <w:tcPr>
            <w:tcW w:w="2265" w:type="dxa"/>
          </w:tcPr>
          <w:p w14:paraId="3939C221"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-Brannsmitte</w:t>
            </w:r>
          </w:p>
          <w:p w14:paraId="33F0E249" w14:textId="77777777" w:rsidR="0066709C" w:rsidRDefault="0066709C" w:rsidP="0066709C">
            <w:pPr>
              <w:spacing w:before="100" w:beforeAutospacing="1" w:line="252" w:lineRule="auto"/>
              <w:rPr>
                <w:rFonts w:ascii="Aptos" w:eastAsia="Times New Roman" w:hAnsi="Aptos" w:cs="Times New Roman"/>
                <w:sz w:val="24"/>
                <w:szCs w:val="24"/>
                <w14:ligatures w14:val="standardContextual"/>
              </w:rPr>
            </w:pPr>
          </w:p>
        </w:tc>
        <w:tc>
          <w:tcPr>
            <w:tcW w:w="2266" w:type="dxa"/>
          </w:tcPr>
          <w:p w14:paraId="640576F2"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-Sårbare brukere</w:t>
            </w:r>
          </w:p>
          <w:p w14:paraId="3B25D992" w14:textId="77777777" w:rsidR="0066709C" w:rsidRDefault="0066709C" w:rsidP="0066709C">
            <w:pPr>
              <w:spacing w:before="100" w:beforeAutospacing="1" w:line="252" w:lineRule="auto"/>
              <w:rPr>
                <w:rFonts w:ascii="Aptos" w:eastAsia="Times New Roman" w:hAnsi="Aptos" w:cs="Times New Roman"/>
                <w:sz w:val="24"/>
                <w:szCs w:val="24"/>
                <w14:ligatures w14:val="standardContextual"/>
              </w:rPr>
            </w:pPr>
          </w:p>
        </w:tc>
        <w:tc>
          <w:tcPr>
            <w:tcW w:w="2266" w:type="dxa"/>
          </w:tcPr>
          <w:p w14:paraId="361881B8" w14:textId="5A2B573C"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-Avstand til brannstasjon</w:t>
            </w:r>
          </w:p>
        </w:tc>
      </w:tr>
      <w:tr w:rsidR="0066709C" w14:paraId="16B30807" w14:textId="77777777" w:rsidTr="0066709C">
        <w:tc>
          <w:tcPr>
            <w:tcW w:w="2265" w:type="dxa"/>
          </w:tcPr>
          <w:p w14:paraId="645A87B9"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-Status</w:t>
            </w:r>
          </w:p>
          <w:p w14:paraId="45397433" w14:textId="77777777" w:rsidR="0066709C" w:rsidRDefault="0066709C" w:rsidP="0066709C">
            <w:pPr>
              <w:spacing w:before="100" w:beforeAutospacing="1" w:line="252" w:lineRule="auto"/>
              <w:rPr>
                <w:rFonts w:ascii="Aptos" w:eastAsia="Times New Roman" w:hAnsi="Aptos" w:cs="Times New Roman"/>
                <w:sz w:val="24"/>
                <w:szCs w:val="24"/>
                <w14:ligatures w14:val="standardContextual"/>
              </w:rPr>
            </w:pPr>
          </w:p>
        </w:tc>
        <w:tc>
          <w:tcPr>
            <w:tcW w:w="2265" w:type="dxa"/>
          </w:tcPr>
          <w:p w14:paraId="482B9CAC" w14:textId="77777777" w:rsidR="0066709C" w:rsidRDefault="0066709C" w:rsidP="0066709C">
            <w:pPr>
              <w:spacing w:before="100" w:beforeAutospacing="1" w:line="252" w:lineRule="auto"/>
              <w:rPr>
                <w:rFonts w:ascii="Aptos" w:eastAsia="Times New Roman" w:hAnsi="Aptos" w:cs="Times New Roman"/>
                <w:sz w:val="24"/>
                <w:szCs w:val="24"/>
                <w14:ligatures w14:val="standardContextual"/>
              </w:rPr>
            </w:pPr>
          </w:p>
        </w:tc>
        <w:tc>
          <w:tcPr>
            <w:tcW w:w="2266" w:type="dxa"/>
          </w:tcPr>
          <w:p w14:paraId="4C264BA6" w14:textId="77777777" w:rsidR="0066709C" w:rsidRDefault="0066709C" w:rsidP="0066709C">
            <w:pPr>
              <w:spacing w:before="100" w:beforeAutospacing="1" w:line="252" w:lineRule="auto"/>
              <w:rPr>
                <w:rFonts w:ascii="Aptos" w:eastAsia="Times New Roman" w:hAnsi="Aptos" w:cs="Times New Roman"/>
                <w:sz w:val="24"/>
                <w:szCs w:val="24"/>
                <w14:ligatures w14:val="standardContextual"/>
              </w:rPr>
            </w:pPr>
          </w:p>
        </w:tc>
        <w:tc>
          <w:tcPr>
            <w:tcW w:w="2266" w:type="dxa"/>
          </w:tcPr>
          <w:p w14:paraId="7430FEFC" w14:textId="77777777" w:rsidR="0066709C" w:rsidRDefault="0066709C" w:rsidP="0066709C">
            <w:pPr>
              <w:spacing w:before="100" w:beforeAutospacing="1" w:line="252" w:lineRule="auto"/>
              <w:rPr>
                <w:rFonts w:ascii="Aptos" w:eastAsia="Times New Roman" w:hAnsi="Aptos" w:cs="Times New Roman"/>
                <w:sz w:val="24"/>
                <w:szCs w:val="24"/>
                <w14:ligatures w14:val="standardContextual"/>
              </w:rPr>
            </w:pPr>
          </w:p>
        </w:tc>
      </w:tr>
    </w:tbl>
    <w:p w14:paraId="6BE74027" w14:textId="40770D18"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 </w:t>
      </w:r>
      <w:bookmarkStart w:id="0" w:name="p62037612"/>
      <w:bookmarkStart w:id="1" w:name="p2"/>
      <w:bookmarkEnd w:id="0"/>
      <w:bookmarkEnd w:id="1"/>
      <w:r w:rsidRPr="0066709C">
        <w:rPr>
          <w:rFonts w:ascii="Aptos" w:eastAsia="Times New Roman" w:hAnsi="Aptos" w:cs="Times New Roman"/>
          <w:sz w:val="24"/>
          <w:szCs w:val="24"/>
          <w14:ligatures w14:val="standardContextual"/>
        </w:rPr>
        <w:t>Frekvens</w:t>
      </w:r>
    </w:p>
    <w:p w14:paraId="2194F951"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Det er Brannvesenets brannforebyggere som foretar risikovurderingen og basert på denne fastsetter frekvens for tilsyn og feiing på de ulike bygg</w:t>
      </w:r>
    </w:p>
    <w:p w14:paraId="6B2D4BE6"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u w:val="single"/>
          <w14:ligatures w14:val="standardContextual"/>
        </w:rPr>
        <w:t>Frekvensen på bolig</w:t>
      </w:r>
    </w:p>
    <w:p w14:paraId="43C5AE97"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1-3 års intervall på feiing av boliger med fastboende</w:t>
      </w:r>
    </w:p>
    <w:p w14:paraId="11C7B066"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1-6 års intervall på tilsyn av boliger med fastboende</w:t>
      </w:r>
    </w:p>
    <w:p w14:paraId="34C6EEDB"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u w:val="single"/>
          <w14:ligatures w14:val="standardContextual"/>
        </w:rPr>
        <w:t>Frekvensen på fritidsboliger</w:t>
      </w:r>
    </w:p>
    <w:p w14:paraId="4EC60B12"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1-6 års intervall på tilsyn og feiing av byggverk uten fastboende</w:t>
      </w:r>
    </w:p>
    <w:p w14:paraId="1EA37E45"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 </w:t>
      </w:r>
    </w:p>
    <w:p w14:paraId="012FD08C"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bookmarkStart w:id="2" w:name="p62037613"/>
      <w:bookmarkStart w:id="3" w:name="p3"/>
      <w:bookmarkEnd w:id="2"/>
      <w:bookmarkEnd w:id="3"/>
      <w:r w:rsidRPr="0066709C">
        <w:rPr>
          <w:rFonts w:ascii="Aptos" w:eastAsia="Times New Roman" w:hAnsi="Aptos" w:cs="Times New Roman"/>
          <w:sz w:val="24"/>
          <w:szCs w:val="24"/>
          <w14:ligatures w14:val="standardContextual"/>
        </w:rPr>
        <w:t>Kostand</w:t>
      </w:r>
    </w:p>
    <w:p w14:paraId="2260362C"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lastRenderedPageBreak/>
        <w:t>Kostnaden med denne tjenesten skal dekkes gjennom selvkostprinsippet. Eierkommunene til Setesdal Brannvesen har fakturert eiere av fritidsboliger for denne tjenesten fra 2018. Alle eiere er med på å dekke felleskostnaden uavhengig om tjenesten har funne sted for å ivareta selvkostprinsippet. Størrelsen på årsgebyret er delt opp slik at dette samsvarer med kostnaden på tjenesten en får i løpet perioden feiing/tilsyn blir utført. Avgiften kreves derfor inn som en årlig avgift. Avgiftsplikten er ikke knyttet opp mot tidspunktet eller fastsatt intervall for feiing eller tilsyn. Avgiften innkreves sammen med de andre kommunale avgifter for å opprettholde et rasjonelt innkrevingssystem.</w:t>
      </w:r>
    </w:p>
    <w:p w14:paraId="600AE903"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b/>
          <w:bCs/>
          <w:sz w:val="24"/>
          <w:szCs w:val="24"/>
          <w14:ligatures w14:val="standardContextual"/>
        </w:rPr>
        <w:t>En har erfart at det er flere abonnenter som er kritiske til å betale en avgift på en tjeneste de ikke har mottatt, eller vurderer som unødvendig. - Det vises til dom i Møre og Romsdal Tingrett der en hytteeier fikk medhold i at en ikke kunne kreve gebyr for feiing og tilsyn så lenge tjenesten ikke var mottatt og denne adgangen var begrenset i lokale gebyr regulativer.</w:t>
      </w:r>
    </w:p>
    <w:p w14:paraId="1D99F1D2"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b/>
          <w:bCs/>
          <w:sz w:val="24"/>
          <w:szCs w:val="24"/>
          <w14:ligatures w14:val="standardContextual"/>
        </w:rPr>
        <w:t>En viser her til utdrag fra sammendrag fra sak i Frostating Lagmannsrett i sak (LF -2023 – 104673.:</w:t>
      </w:r>
    </w:p>
    <w:p w14:paraId="35DEB94A"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i/>
          <w:iCs/>
          <w:sz w:val="24"/>
          <w:szCs w:val="24"/>
          <w14:ligatures w14:val="standardContextual"/>
        </w:rPr>
        <w:t>«Lagmannsretten presiserte at kommunen plikter å feie og føre tilsyn ved behov etter en konkret vurdering av hvert enkelt fyringsanlegg uavhengig av hva som er bestemt i den kommunale forskriften. Videre har kommunen etter loven adgang til å kreve samme årlige gebyr fra eierne selv om kommunen har vurdert at noen fyringsanlegg behøver feiing og/eller tilsyn oftere og/eller sjeldnere enn andre. Kommunen har også adgang etter loven til å kreve gebyr fra en eier de årene kommunen ikke gjennomfører feiing og/eller tilsyn hos vedkommende»</w:t>
      </w:r>
    </w:p>
    <w:p w14:paraId="3C7727F8" w14:textId="77777777"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i/>
          <w:iCs/>
          <w:sz w:val="24"/>
          <w:szCs w:val="24"/>
          <w14:ligatures w14:val="standardContextual"/>
        </w:rPr>
        <w:t>I dette tilfellet hadde imidlertid kommunen gjennom sin egen forskrift begrenset adgangen til å kreve gebyr i disse tilfellene.</w:t>
      </w:r>
    </w:p>
    <w:p w14:paraId="620044D4" w14:textId="77777777" w:rsid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14:ligatures w14:val="standardContextual"/>
        </w:rPr>
        <w:t> Setesdalskommunenes gebyrfastsetting og innkreving skjer gjennom gebyrregulativene som fastsettes årlig sammen med årsbudsjettene</w:t>
      </w:r>
      <w:r w:rsidRPr="0066709C">
        <w:rPr>
          <w:rFonts w:ascii="Aptos" w:eastAsia="Times New Roman" w:hAnsi="Aptos" w:cs="Times New Roman"/>
          <w:sz w:val="28"/>
          <w:szCs w:val="28"/>
          <w14:ligatures w14:val="standardContextual"/>
        </w:rPr>
        <w:t>.</w:t>
      </w:r>
    </w:p>
    <w:p w14:paraId="4065E64C" w14:textId="193A05E1" w:rsidR="0066709C" w:rsidRPr="0066709C" w:rsidRDefault="0066709C" w:rsidP="0066709C">
      <w:pPr>
        <w:spacing w:before="100" w:beforeAutospacing="1" w:line="252"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8"/>
          <w:szCs w:val="28"/>
          <w14:ligatures w14:val="standardContextual"/>
        </w:rPr>
        <w:br/>
      </w:r>
      <w:r w:rsidRPr="0066709C">
        <w:rPr>
          <w:rFonts w:ascii="Aptos" w:eastAsia="Times New Roman" w:hAnsi="Aptos" w:cs="Times New Roman"/>
          <w:sz w:val="24"/>
          <w:szCs w:val="24"/>
          <w14:ligatures w14:val="standardContextual"/>
        </w:rPr>
        <w:t>Håper dette ga svar på det dere lurte på.</w:t>
      </w:r>
    </w:p>
    <w:p w14:paraId="30345FBA" w14:textId="0CBA7E06"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rPr>
        <w:t> </w:t>
      </w:r>
      <w:r w:rsidRPr="0066709C">
        <w:rPr>
          <w:rFonts w:ascii="Aptos" w:eastAsia="Times New Roman" w:hAnsi="Aptos" w:cs="Times New Roman"/>
          <w:sz w:val="24"/>
          <w:szCs w:val="24"/>
          <w:lang w:eastAsia="nb-NO"/>
          <w14:ligatures w14:val="standardContextual"/>
        </w:rPr>
        <w:t>Ønsker deg en fin dag!</w:t>
      </w:r>
    </w:p>
    <w:p w14:paraId="69461250" w14:textId="698163B3" w:rsidR="0066709C"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lang w:eastAsia="nb-NO"/>
          <w14:ligatures w14:val="standardContextual"/>
        </w:rPr>
        <w:t> Hilsen</w:t>
      </w:r>
    </w:p>
    <w:p w14:paraId="566513D2" w14:textId="2183FD54" w:rsidR="00647BF2" w:rsidRPr="0066709C" w:rsidRDefault="0066709C" w:rsidP="0066709C">
      <w:pPr>
        <w:spacing w:before="100" w:beforeAutospacing="1" w:after="100" w:afterAutospacing="1" w:line="240" w:lineRule="auto"/>
        <w:rPr>
          <w:rFonts w:ascii="Times New Roman" w:eastAsia="Times New Roman" w:hAnsi="Times New Roman" w:cs="Times New Roman"/>
          <w:sz w:val="24"/>
          <w:szCs w:val="24"/>
          <w:lang w:eastAsia="nb-NO"/>
        </w:rPr>
      </w:pPr>
      <w:r w:rsidRPr="0066709C">
        <w:rPr>
          <w:rFonts w:ascii="Aptos" w:eastAsia="Times New Roman" w:hAnsi="Aptos" w:cs="Times New Roman"/>
          <w:sz w:val="24"/>
          <w:szCs w:val="24"/>
          <w:lang w:eastAsia="nb-NO"/>
          <w14:ligatures w14:val="standardContextual"/>
        </w:rPr>
        <w:t>Knut Arne Nilsen</w:t>
      </w:r>
      <w:r w:rsidRPr="0066709C">
        <w:rPr>
          <w:rFonts w:ascii="Aptos" w:eastAsia="Times New Roman" w:hAnsi="Aptos" w:cs="Times New Roman"/>
          <w:sz w:val="24"/>
          <w:szCs w:val="24"/>
          <w:lang w:eastAsia="nb-NO"/>
          <w14:ligatures w14:val="standardContextual"/>
        </w:rPr>
        <w:br/>
        <w:t>Setesdal Brannvesen IKS</w:t>
      </w:r>
    </w:p>
    <w:sectPr w:rsidR="00647BF2" w:rsidRPr="00667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9C"/>
    <w:rsid w:val="00535CD9"/>
    <w:rsid w:val="00647BF2"/>
    <w:rsid w:val="0066709C"/>
    <w:rsid w:val="00EF0E70"/>
    <w:rsid w:val="00F768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B10"/>
  <w15:chartTrackingRefBased/>
  <w15:docId w15:val="{3418C52A-8FB2-4EAB-9F96-F7B6A8B1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09C"/>
  </w:style>
  <w:style w:type="paragraph" w:styleId="Overskrift1">
    <w:name w:val="heading 1"/>
    <w:basedOn w:val="Normal"/>
    <w:next w:val="Normal"/>
    <w:link w:val="Overskrift1Tegn"/>
    <w:uiPriority w:val="9"/>
    <w:qFormat/>
    <w:rsid w:val="00667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667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66709C"/>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6709C"/>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6709C"/>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670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670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670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6709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6709C"/>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foravsnitt"/>
    <w:link w:val="Overskrift2"/>
    <w:uiPriority w:val="9"/>
    <w:semiHidden/>
    <w:rsid w:val="0066709C"/>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foravsnitt"/>
    <w:link w:val="Overskrift3"/>
    <w:uiPriority w:val="9"/>
    <w:semiHidden/>
    <w:rsid w:val="0066709C"/>
    <w:rPr>
      <w:rFonts w:eastAsiaTheme="majorEastAsia" w:cstheme="majorBidi"/>
      <w:color w:val="2F5496" w:themeColor="accent1" w:themeShade="BF"/>
      <w:sz w:val="28"/>
      <w:szCs w:val="28"/>
    </w:rPr>
  </w:style>
  <w:style w:type="character" w:customStyle="1" w:styleId="Overskrift4Tegn">
    <w:name w:val="Overskrift 4 Tegn"/>
    <w:basedOn w:val="Standardskriftforavsnitt"/>
    <w:link w:val="Overskrift4"/>
    <w:uiPriority w:val="9"/>
    <w:semiHidden/>
    <w:rsid w:val="0066709C"/>
    <w:rPr>
      <w:rFonts w:eastAsiaTheme="majorEastAsia" w:cstheme="majorBidi"/>
      <w:i/>
      <w:iCs/>
      <w:color w:val="2F5496" w:themeColor="accent1" w:themeShade="BF"/>
    </w:rPr>
  </w:style>
  <w:style w:type="character" w:customStyle="1" w:styleId="Overskrift5Tegn">
    <w:name w:val="Overskrift 5 Tegn"/>
    <w:basedOn w:val="Standardskriftforavsnitt"/>
    <w:link w:val="Overskrift5"/>
    <w:uiPriority w:val="9"/>
    <w:semiHidden/>
    <w:rsid w:val="0066709C"/>
    <w:rPr>
      <w:rFonts w:eastAsiaTheme="majorEastAsia" w:cstheme="majorBidi"/>
      <w:color w:val="2F5496" w:themeColor="accent1" w:themeShade="BF"/>
    </w:rPr>
  </w:style>
  <w:style w:type="character" w:customStyle="1" w:styleId="Overskrift6Tegn">
    <w:name w:val="Overskrift 6 Tegn"/>
    <w:basedOn w:val="Standardskriftforavsnitt"/>
    <w:link w:val="Overskrift6"/>
    <w:uiPriority w:val="9"/>
    <w:semiHidden/>
    <w:rsid w:val="0066709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6709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6709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6709C"/>
    <w:rPr>
      <w:rFonts w:eastAsiaTheme="majorEastAsia" w:cstheme="majorBidi"/>
      <w:color w:val="272727" w:themeColor="text1" w:themeTint="D8"/>
    </w:rPr>
  </w:style>
  <w:style w:type="paragraph" w:styleId="Tittel">
    <w:name w:val="Title"/>
    <w:basedOn w:val="Normal"/>
    <w:next w:val="Normal"/>
    <w:link w:val="TittelTegn"/>
    <w:uiPriority w:val="10"/>
    <w:qFormat/>
    <w:rsid w:val="00667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6709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6709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6709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6709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6709C"/>
    <w:rPr>
      <w:i/>
      <w:iCs/>
      <w:color w:val="404040" w:themeColor="text1" w:themeTint="BF"/>
    </w:rPr>
  </w:style>
  <w:style w:type="paragraph" w:styleId="Listeavsnitt">
    <w:name w:val="List Paragraph"/>
    <w:basedOn w:val="Normal"/>
    <w:uiPriority w:val="34"/>
    <w:qFormat/>
    <w:rsid w:val="0066709C"/>
    <w:pPr>
      <w:ind w:left="720"/>
      <w:contextualSpacing/>
    </w:pPr>
  </w:style>
  <w:style w:type="character" w:styleId="Sterkutheving">
    <w:name w:val="Intense Emphasis"/>
    <w:basedOn w:val="Standardskriftforavsnitt"/>
    <w:uiPriority w:val="21"/>
    <w:qFormat/>
    <w:rsid w:val="0066709C"/>
    <w:rPr>
      <w:i/>
      <w:iCs/>
      <w:color w:val="2F5496" w:themeColor="accent1" w:themeShade="BF"/>
    </w:rPr>
  </w:style>
  <w:style w:type="paragraph" w:styleId="Sterktsitat">
    <w:name w:val="Intense Quote"/>
    <w:basedOn w:val="Normal"/>
    <w:next w:val="Normal"/>
    <w:link w:val="SterktsitatTegn"/>
    <w:uiPriority w:val="30"/>
    <w:qFormat/>
    <w:rsid w:val="00667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erktsitatTegn">
    <w:name w:val="Sterkt sitat Tegn"/>
    <w:basedOn w:val="Standardskriftforavsnitt"/>
    <w:link w:val="Sterktsitat"/>
    <w:uiPriority w:val="30"/>
    <w:rsid w:val="0066709C"/>
    <w:rPr>
      <w:i/>
      <w:iCs/>
      <w:color w:val="2F5496" w:themeColor="accent1" w:themeShade="BF"/>
    </w:rPr>
  </w:style>
  <w:style w:type="character" w:styleId="Sterkreferanse">
    <w:name w:val="Intense Reference"/>
    <w:basedOn w:val="Standardskriftforavsnitt"/>
    <w:uiPriority w:val="32"/>
    <w:qFormat/>
    <w:rsid w:val="0066709C"/>
    <w:rPr>
      <w:b/>
      <w:bCs/>
      <w:smallCaps/>
      <w:color w:val="2F5496" w:themeColor="accent1" w:themeShade="BF"/>
      <w:spacing w:val="5"/>
    </w:rPr>
  </w:style>
  <w:style w:type="character" w:styleId="Hyperkobling">
    <w:name w:val="Hyperlink"/>
    <w:basedOn w:val="Standardskriftforavsnitt"/>
    <w:uiPriority w:val="99"/>
    <w:semiHidden/>
    <w:unhideWhenUsed/>
    <w:rsid w:val="0066709C"/>
    <w:rPr>
      <w:color w:val="0000FF"/>
      <w:u w:val="single"/>
    </w:rPr>
  </w:style>
  <w:style w:type="table" w:styleId="Tabellrutenett">
    <w:name w:val="Table Grid"/>
    <w:basedOn w:val="Vanligtabell"/>
    <w:uiPriority w:val="39"/>
    <w:rsid w:val="00667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221535">
      <w:bodyDiv w:val="1"/>
      <w:marLeft w:val="0"/>
      <w:marRight w:val="0"/>
      <w:marTop w:val="0"/>
      <w:marBottom w:val="0"/>
      <w:divBdr>
        <w:top w:val="none" w:sz="0" w:space="0" w:color="auto"/>
        <w:left w:val="none" w:sz="0" w:space="0" w:color="auto"/>
        <w:bottom w:val="none" w:sz="0" w:space="0" w:color="auto"/>
        <w:right w:val="none" w:sz="0" w:space="0" w:color="auto"/>
      </w:divBdr>
      <w:divsChild>
        <w:div w:id="356538856">
          <w:marLeft w:val="0"/>
          <w:marRight w:val="0"/>
          <w:marTop w:val="0"/>
          <w:marBottom w:val="0"/>
          <w:divBdr>
            <w:top w:val="none" w:sz="0" w:space="0" w:color="auto"/>
            <w:left w:val="none" w:sz="0" w:space="0" w:color="auto"/>
            <w:bottom w:val="none" w:sz="0" w:space="0" w:color="auto"/>
            <w:right w:val="none" w:sz="0" w:space="0" w:color="auto"/>
          </w:divBdr>
          <w:divsChild>
            <w:div w:id="1756972414">
              <w:marLeft w:val="0"/>
              <w:marRight w:val="0"/>
              <w:marTop w:val="0"/>
              <w:marBottom w:val="0"/>
              <w:divBdr>
                <w:top w:val="none" w:sz="0" w:space="0" w:color="auto"/>
                <w:left w:val="none" w:sz="0" w:space="0" w:color="auto"/>
                <w:bottom w:val="none" w:sz="0" w:space="0" w:color="auto"/>
                <w:right w:val="none" w:sz="0" w:space="0" w:color="auto"/>
              </w:divBdr>
              <w:divsChild>
                <w:div w:id="312489107">
                  <w:marLeft w:val="0"/>
                  <w:marRight w:val="0"/>
                  <w:marTop w:val="0"/>
                  <w:marBottom w:val="0"/>
                  <w:divBdr>
                    <w:top w:val="none" w:sz="0" w:space="0" w:color="auto"/>
                    <w:left w:val="none" w:sz="0" w:space="0" w:color="auto"/>
                    <w:bottom w:val="none" w:sz="0" w:space="0" w:color="auto"/>
                    <w:right w:val="none" w:sz="0" w:space="0" w:color="auto"/>
                  </w:divBdr>
                </w:div>
                <w:div w:id="991955981">
                  <w:marLeft w:val="0"/>
                  <w:marRight w:val="0"/>
                  <w:marTop w:val="0"/>
                  <w:marBottom w:val="0"/>
                  <w:divBdr>
                    <w:top w:val="none" w:sz="0" w:space="0" w:color="auto"/>
                    <w:left w:val="none" w:sz="0" w:space="0" w:color="auto"/>
                    <w:bottom w:val="none" w:sz="0" w:space="0" w:color="auto"/>
                    <w:right w:val="none" w:sz="0" w:space="0" w:color="auto"/>
                  </w:divBdr>
                  <w:divsChild>
                    <w:div w:id="1975716125">
                      <w:marLeft w:val="0"/>
                      <w:marRight w:val="0"/>
                      <w:marTop w:val="0"/>
                      <w:marBottom w:val="0"/>
                      <w:divBdr>
                        <w:top w:val="single" w:sz="8" w:space="3" w:color="E1E1E1"/>
                        <w:left w:val="none" w:sz="0" w:space="0" w:color="auto"/>
                        <w:bottom w:val="none" w:sz="0" w:space="0" w:color="auto"/>
                        <w:right w:val="none" w:sz="0" w:space="0" w:color="auto"/>
                      </w:divBdr>
                    </w:div>
                  </w:divsChild>
                </w:div>
                <w:div w:id="1465350080">
                  <w:marLeft w:val="0"/>
                  <w:marRight w:val="0"/>
                  <w:marTop w:val="0"/>
                  <w:marBottom w:val="0"/>
                  <w:divBdr>
                    <w:top w:val="none" w:sz="0" w:space="0" w:color="auto"/>
                    <w:left w:val="none" w:sz="0" w:space="0" w:color="auto"/>
                    <w:bottom w:val="none" w:sz="0" w:space="0" w:color="auto"/>
                    <w:right w:val="none" w:sz="0" w:space="0" w:color="auto"/>
                  </w:divBdr>
                </w:div>
                <w:div w:id="2057701154">
                  <w:marLeft w:val="0"/>
                  <w:marRight w:val="0"/>
                  <w:marTop w:val="0"/>
                  <w:marBottom w:val="0"/>
                  <w:divBdr>
                    <w:top w:val="none" w:sz="0" w:space="0" w:color="auto"/>
                    <w:left w:val="none" w:sz="0" w:space="0" w:color="auto"/>
                    <w:bottom w:val="none" w:sz="0" w:space="0" w:color="auto"/>
                    <w:right w:val="none" w:sz="0" w:space="0" w:color="auto"/>
                  </w:divBdr>
                  <w:divsChild>
                    <w:div w:id="505677400">
                      <w:marLeft w:val="0"/>
                      <w:marRight w:val="0"/>
                      <w:marTop w:val="0"/>
                      <w:marBottom w:val="0"/>
                      <w:divBdr>
                        <w:top w:val="single" w:sz="8" w:space="3" w:color="E1E1E1"/>
                        <w:left w:val="none" w:sz="0" w:space="0" w:color="auto"/>
                        <w:bottom w:val="none" w:sz="0" w:space="0" w:color="auto"/>
                        <w:right w:val="none" w:sz="0" w:space="0" w:color="auto"/>
                      </w:divBdr>
                    </w:div>
                  </w:divsChild>
                </w:div>
                <w:div w:id="498889303">
                  <w:marLeft w:val="0"/>
                  <w:marRight w:val="0"/>
                  <w:marTop w:val="0"/>
                  <w:marBottom w:val="0"/>
                  <w:divBdr>
                    <w:top w:val="none" w:sz="0" w:space="0" w:color="auto"/>
                    <w:left w:val="none" w:sz="0" w:space="0" w:color="auto"/>
                    <w:bottom w:val="none" w:sz="0" w:space="0" w:color="auto"/>
                    <w:right w:val="none" w:sz="0" w:space="0" w:color="auto"/>
                  </w:divBdr>
                </w:div>
                <w:div w:id="1321352211">
                  <w:marLeft w:val="0"/>
                  <w:marRight w:val="0"/>
                  <w:marTop w:val="0"/>
                  <w:marBottom w:val="0"/>
                  <w:divBdr>
                    <w:top w:val="none" w:sz="0" w:space="0" w:color="auto"/>
                    <w:left w:val="none" w:sz="0" w:space="0" w:color="auto"/>
                    <w:bottom w:val="none" w:sz="0" w:space="0" w:color="auto"/>
                    <w:right w:val="none" w:sz="0" w:space="0" w:color="auto"/>
                  </w:divBdr>
                  <w:divsChild>
                    <w:div w:id="298850658">
                      <w:marLeft w:val="0"/>
                      <w:marRight w:val="0"/>
                      <w:marTop w:val="0"/>
                      <w:marBottom w:val="0"/>
                      <w:divBdr>
                        <w:top w:val="none" w:sz="0" w:space="0" w:color="auto"/>
                        <w:left w:val="none" w:sz="0" w:space="0" w:color="auto"/>
                        <w:bottom w:val="none" w:sz="0" w:space="0" w:color="auto"/>
                        <w:right w:val="none" w:sz="0" w:space="0" w:color="auto"/>
                      </w:divBdr>
                    </w:div>
                  </w:divsChild>
                </w:div>
                <w:div w:id="377705214">
                  <w:marLeft w:val="0"/>
                  <w:marRight w:val="0"/>
                  <w:marTop w:val="0"/>
                  <w:marBottom w:val="0"/>
                  <w:divBdr>
                    <w:top w:val="none" w:sz="0" w:space="0" w:color="auto"/>
                    <w:left w:val="none" w:sz="0" w:space="0" w:color="auto"/>
                    <w:bottom w:val="none" w:sz="0" w:space="0" w:color="auto"/>
                    <w:right w:val="none" w:sz="0" w:space="0" w:color="auto"/>
                  </w:divBdr>
                  <w:divsChild>
                    <w:div w:id="1313290669">
                      <w:marLeft w:val="0"/>
                      <w:marRight w:val="0"/>
                      <w:marTop w:val="0"/>
                      <w:marBottom w:val="0"/>
                      <w:divBdr>
                        <w:top w:val="none" w:sz="0" w:space="0" w:color="auto"/>
                        <w:left w:val="none" w:sz="0" w:space="0" w:color="auto"/>
                        <w:bottom w:val="none" w:sz="0" w:space="0" w:color="auto"/>
                        <w:right w:val="none" w:sz="0" w:space="0" w:color="auto"/>
                      </w:divBdr>
                    </w:div>
                    <w:div w:id="652417884">
                      <w:marLeft w:val="0"/>
                      <w:marRight w:val="0"/>
                      <w:marTop w:val="0"/>
                      <w:marBottom w:val="0"/>
                      <w:divBdr>
                        <w:top w:val="none" w:sz="0" w:space="0" w:color="auto"/>
                        <w:left w:val="none" w:sz="0" w:space="0" w:color="auto"/>
                        <w:bottom w:val="none" w:sz="0" w:space="0" w:color="auto"/>
                        <w:right w:val="none" w:sz="0" w:space="0" w:color="auto"/>
                      </w:divBdr>
                      <w:divsChild>
                        <w:div w:id="359091693">
                          <w:marLeft w:val="0"/>
                          <w:marRight w:val="0"/>
                          <w:marTop w:val="0"/>
                          <w:marBottom w:val="0"/>
                          <w:divBdr>
                            <w:top w:val="none" w:sz="0" w:space="0" w:color="auto"/>
                            <w:left w:val="none" w:sz="0" w:space="0" w:color="auto"/>
                            <w:bottom w:val="none" w:sz="0" w:space="0" w:color="auto"/>
                            <w:right w:val="none" w:sz="0" w:space="0" w:color="auto"/>
                          </w:divBdr>
                          <w:divsChild>
                            <w:div w:id="649989401">
                              <w:marLeft w:val="0"/>
                              <w:marRight w:val="0"/>
                              <w:marTop w:val="0"/>
                              <w:marBottom w:val="0"/>
                              <w:divBdr>
                                <w:top w:val="none" w:sz="0" w:space="0" w:color="auto"/>
                                <w:left w:val="none" w:sz="0" w:space="0" w:color="auto"/>
                                <w:bottom w:val="none" w:sz="0" w:space="0" w:color="auto"/>
                                <w:right w:val="none" w:sz="0" w:space="0" w:color="auto"/>
                              </w:divBdr>
                              <w:divsChild>
                                <w:div w:id="424302771">
                                  <w:marLeft w:val="0"/>
                                  <w:marRight w:val="0"/>
                                  <w:marTop w:val="0"/>
                                  <w:marBottom w:val="0"/>
                                  <w:divBdr>
                                    <w:top w:val="none" w:sz="0" w:space="0" w:color="auto"/>
                                    <w:left w:val="none" w:sz="0" w:space="0" w:color="auto"/>
                                    <w:bottom w:val="none" w:sz="0" w:space="0" w:color="auto"/>
                                    <w:right w:val="none" w:sz="0" w:space="0" w:color="auto"/>
                                  </w:divBdr>
                                  <w:divsChild>
                                    <w:div w:id="1836650974">
                                      <w:marLeft w:val="0"/>
                                      <w:marRight w:val="0"/>
                                      <w:marTop w:val="0"/>
                                      <w:marBottom w:val="0"/>
                                      <w:divBdr>
                                        <w:top w:val="none" w:sz="0" w:space="0" w:color="auto"/>
                                        <w:left w:val="none" w:sz="0" w:space="0" w:color="auto"/>
                                        <w:bottom w:val="none" w:sz="0" w:space="0" w:color="auto"/>
                                        <w:right w:val="none" w:sz="0" w:space="0" w:color="auto"/>
                                      </w:divBdr>
                                    </w:div>
                                    <w:div w:id="2063140292">
                                      <w:marLeft w:val="0"/>
                                      <w:marRight w:val="0"/>
                                      <w:marTop w:val="0"/>
                                      <w:marBottom w:val="0"/>
                                      <w:divBdr>
                                        <w:top w:val="none" w:sz="0" w:space="0" w:color="auto"/>
                                        <w:left w:val="none" w:sz="0" w:space="0" w:color="auto"/>
                                        <w:bottom w:val="none" w:sz="0" w:space="0" w:color="auto"/>
                                        <w:right w:val="none" w:sz="0" w:space="0" w:color="auto"/>
                                      </w:divBdr>
                                    </w:div>
                                    <w:div w:id="894857151">
                                      <w:marLeft w:val="0"/>
                                      <w:marRight w:val="0"/>
                                      <w:marTop w:val="0"/>
                                      <w:marBottom w:val="0"/>
                                      <w:divBdr>
                                        <w:top w:val="none" w:sz="0" w:space="0" w:color="auto"/>
                                        <w:left w:val="none" w:sz="0" w:space="0" w:color="auto"/>
                                        <w:bottom w:val="none" w:sz="0" w:space="0" w:color="auto"/>
                                        <w:right w:val="none" w:sz="0" w:space="0" w:color="auto"/>
                                      </w:divBdr>
                                    </w:div>
                                    <w:div w:id="220680898">
                                      <w:marLeft w:val="0"/>
                                      <w:marRight w:val="0"/>
                                      <w:marTop w:val="0"/>
                                      <w:marBottom w:val="0"/>
                                      <w:divBdr>
                                        <w:top w:val="none" w:sz="0" w:space="0" w:color="auto"/>
                                        <w:left w:val="none" w:sz="0" w:space="0" w:color="auto"/>
                                        <w:bottom w:val="none" w:sz="0" w:space="0" w:color="auto"/>
                                        <w:right w:val="none" w:sz="0" w:space="0" w:color="auto"/>
                                      </w:divBdr>
                                    </w:div>
                                    <w:div w:id="261233080">
                                      <w:marLeft w:val="0"/>
                                      <w:marRight w:val="0"/>
                                      <w:marTop w:val="0"/>
                                      <w:marBottom w:val="0"/>
                                      <w:divBdr>
                                        <w:top w:val="none" w:sz="0" w:space="0" w:color="auto"/>
                                        <w:left w:val="none" w:sz="0" w:space="0" w:color="auto"/>
                                        <w:bottom w:val="none" w:sz="0" w:space="0" w:color="auto"/>
                                        <w:right w:val="none" w:sz="0" w:space="0" w:color="auto"/>
                                      </w:divBdr>
                                    </w:div>
                                    <w:div w:id="1166551191">
                                      <w:marLeft w:val="0"/>
                                      <w:marRight w:val="0"/>
                                      <w:marTop w:val="0"/>
                                      <w:marBottom w:val="0"/>
                                      <w:divBdr>
                                        <w:top w:val="none" w:sz="0" w:space="0" w:color="auto"/>
                                        <w:left w:val="none" w:sz="0" w:space="0" w:color="auto"/>
                                        <w:bottom w:val="none" w:sz="0" w:space="0" w:color="auto"/>
                                        <w:right w:val="none" w:sz="0" w:space="0" w:color="auto"/>
                                      </w:divBdr>
                                    </w:div>
                                    <w:div w:id="1120144695">
                                      <w:marLeft w:val="0"/>
                                      <w:marRight w:val="0"/>
                                      <w:marTop w:val="0"/>
                                      <w:marBottom w:val="0"/>
                                      <w:divBdr>
                                        <w:top w:val="none" w:sz="0" w:space="0" w:color="auto"/>
                                        <w:left w:val="none" w:sz="0" w:space="0" w:color="auto"/>
                                        <w:bottom w:val="none" w:sz="0" w:space="0" w:color="auto"/>
                                        <w:right w:val="none" w:sz="0" w:space="0" w:color="auto"/>
                                      </w:divBdr>
                                    </w:div>
                                    <w:div w:id="209533987">
                                      <w:marLeft w:val="0"/>
                                      <w:marRight w:val="0"/>
                                      <w:marTop w:val="0"/>
                                      <w:marBottom w:val="0"/>
                                      <w:divBdr>
                                        <w:top w:val="none" w:sz="0" w:space="0" w:color="auto"/>
                                        <w:left w:val="none" w:sz="0" w:space="0" w:color="auto"/>
                                        <w:bottom w:val="none" w:sz="0" w:space="0" w:color="auto"/>
                                        <w:right w:val="none" w:sz="0" w:space="0" w:color="auto"/>
                                      </w:divBdr>
                                    </w:div>
                                    <w:div w:id="305355506">
                                      <w:marLeft w:val="0"/>
                                      <w:marRight w:val="0"/>
                                      <w:marTop w:val="0"/>
                                      <w:marBottom w:val="0"/>
                                      <w:divBdr>
                                        <w:top w:val="none" w:sz="0" w:space="0" w:color="auto"/>
                                        <w:left w:val="none" w:sz="0" w:space="0" w:color="auto"/>
                                        <w:bottom w:val="none" w:sz="0" w:space="0" w:color="auto"/>
                                        <w:right w:val="none" w:sz="0" w:space="0" w:color="auto"/>
                                      </w:divBdr>
                                    </w:div>
                                  </w:divsChild>
                                </w:div>
                                <w:div w:id="1933001801">
                                  <w:marLeft w:val="0"/>
                                  <w:marRight w:val="0"/>
                                  <w:marTop w:val="0"/>
                                  <w:marBottom w:val="0"/>
                                  <w:divBdr>
                                    <w:top w:val="none" w:sz="0" w:space="0" w:color="auto"/>
                                    <w:left w:val="none" w:sz="0" w:space="0" w:color="auto"/>
                                    <w:bottom w:val="none" w:sz="0" w:space="0" w:color="auto"/>
                                    <w:right w:val="none" w:sz="0" w:space="0" w:color="auto"/>
                                  </w:divBdr>
                                </w:div>
                                <w:div w:id="959998845">
                                  <w:marLeft w:val="0"/>
                                  <w:marRight w:val="0"/>
                                  <w:marTop w:val="0"/>
                                  <w:marBottom w:val="0"/>
                                  <w:divBdr>
                                    <w:top w:val="none" w:sz="0" w:space="0" w:color="auto"/>
                                    <w:left w:val="none" w:sz="0" w:space="0" w:color="auto"/>
                                    <w:bottom w:val="none" w:sz="0" w:space="0" w:color="auto"/>
                                    <w:right w:val="none" w:sz="0" w:space="0" w:color="auto"/>
                                  </w:divBdr>
                                </w:div>
                                <w:div w:id="1284650304">
                                  <w:marLeft w:val="0"/>
                                  <w:marRight w:val="0"/>
                                  <w:marTop w:val="0"/>
                                  <w:marBottom w:val="0"/>
                                  <w:divBdr>
                                    <w:top w:val="none" w:sz="0" w:space="0" w:color="auto"/>
                                    <w:left w:val="none" w:sz="0" w:space="0" w:color="auto"/>
                                    <w:bottom w:val="none" w:sz="0" w:space="0" w:color="auto"/>
                                    <w:right w:val="none" w:sz="0" w:space="0" w:color="auto"/>
                                  </w:divBdr>
                                </w:div>
                                <w:div w:id="1974865965">
                                  <w:marLeft w:val="0"/>
                                  <w:marRight w:val="0"/>
                                  <w:marTop w:val="0"/>
                                  <w:marBottom w:val="0"/>
                                  <w:divBdr>
                                    <w:top w:val="none" w:sz="0" w:space="0" w:color="auto"/>
                                    <w:left w:val="none" w:sz="0" w:space="0" w:color="auto"/>
                                    <w:bottom w:val="none" w:sz="0" w:space="0" w:color="auto"/>
                                    <w:right w:val="none" w:sz="0" w:space="0" w:color="auto"/>
                                  </w:divBdr>
                                </w:div>
                                <w:div w:id="347752788">
                                  <w:marLeft w:val="0"/>
                                  <w:marRight w:val="0"/>
                                  <w:marTop w:val="0"/>
                                  <w:marBottom w:val="0"/>
                                  <w:divBdr>
                                    <w:top w:val="none" w:sz="0" w:space="0" w:color="auto"/>
                                    <w:left w:val="none" w:sz="0" w:space="0" w:color="auto"/>
                                    <w:bottom w:val="none" w:sz="0" w:space="0" w:color="auto"/>
                                    <w:right w:val="none" w:sz="0" w:space="0" w:color="auto"/>
                                  </w:divBdr>
                                  <w:divsChild>
                                    <w:div w:id="3591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lijoh@online.no" TargetMode="External"/><Relationship Id="rId3" Type="http://schemas.openxmlformats.org/officeDocument/2006/relationships/webSettings" Target="webSettings.xml"/><Relationship Id="rId7" Type="http://schemas.openxmlformats.org/officeDocument/2006/relationships/hyperlink" Target="mailto:erlijoh@online.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n@elektroxperten.no" TargetMode="External"/><Relationship Id="rId5" Type="http://schemas.openxmlformats.org/officeDocument/2006/relationships/hyperlink" Target="mailto:post@valle.kommune.no" TargetMode="External"/><Relationship Id="rId10" Type="http://schemas.openxmlformats.org/officeDocument/2006/relationships/theme" Target="theme/theme1.xml"/><Relationship Id="rId4" Type="http://schemas.openxmlformats.org/officeDocument/2006/relationships/hyperlink" Target="mailto:reinstoyl@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860</Words>
  <Characters>4559</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IKT Agder IKS</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Laurendz, Sigvard</dc:creator>
  <cp:keywords/>
  <dc:description/>
  <cp:lastModifiedBy>Laurendz, Sigvard</cp:lastModifiedBy>
  <cp:revision>1</cp:revision>
  <dcterms:created xsi:type="dcterms:W3CDTF">2024-03-23T19:00:00Z</dcterms:created>
  <dcterms:modified xsi:type="dcterms:W3CDTF">2024-03-23T19:19:00Z</dcterms:modified>
</cp:coreProperties>
</file>